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rPr>
          <w:b/>
        </w:rPr>
        <w:t xml:space="preserve">Terms of Service</w:t>
      </w:r>
    </w:p>
    <w:p>
      <w:r>
        <w:rPr>
          <w:i/>
        </w:rPr>
        <w:t xml:space="preserve">Last updated: 2026-08-05</w:t>
      </w:r>
    </w:p>
    <w:p/>
    <w:p>
      <w:r>
        <w:t xml:space="preserve">Legal</w:t>
      </w:r>
    </w:p>
    <w:p>
      <w:pPr>
        <w:pStyle w:val="Heading1"/>
      </w:pPr>
      <w:r>
        <w:rPr>
          <w:b/>
        </w:rPr>
        <w:t xml:space="preserve">Terms of Service</w:t>
      </w:r>
    </w:p>
    <w:p>
      <w:r>
        <w:t xml:space="preserve">Last updated: August 5, 2026 · Effective: August 5, 2026</w:t>
      </w:r>
    </w:p>
    <w:p>
      <w:r>
        <w:t xml:space="preserve">These Terms of Service (</w:t>
      </w:r>
      <w:r>
        <w:rPr>
          <w:b/>
        </w:rPr>
        <w:t xml:space="preserve">"Terms"</w:t>
      </w:r>
      <w:r>
        <w:t xml:space="preserve">) govern your access to and use of Grounds, including grounds.ai and the Grounds for Law, Grounds for Business, and Grounds Personal products (collectively, the </w:t>
      </w:r>
      <w:r>
        <w:rPr>
          <w:b/>
        </w:rPr>
        <w:t xml:space="preserve">"Service"</w:t>
      </w:r>
      <w:r>
        <w:t xml:space="preserve">), operated by Owndevice, Inc., a Delaware corporation (</w:t>
      </w:r>
      <w:r>
        <w:rPr>
          <w:b/>
        </w:rPr>
        <w:t xml:space="preserve">"Grounds,"</w:t>
      </w:r>
      <w:r>
        <w:rPr>
          <w:b/>
        </w:rPr>
        <w:t xml:space="preserve">"we,"</w:t>
      </w:r>
      <w:r>
        <w:rPr>
          <w:b/>
        </w:rPr>
        <w:t xml:space="preserve">"us"</w:t>
      </w:r>
      <w:r>
        <w:t xml:space="preserve">). By creating an account or using the Service, you agree to these Terms.</w:t>
      </w:r>
    </w:p>
    <w:p>
      <w:pPr>
        <w:pStyle w:val="Heading2"/>
      </w:pPr>
      <w:r>
        <w:rPr>
          <w:b/>
        </w:rPr>
        <w:t xml:space="preserve">1. Eligibility and accounts</w:t>
      </w:r>
    </w:p>
    <w:p>
      <w:r>
        <w:t xml:space="preserve">You must be at least 18 years old and able to form a binding contract. If you are using the Service on behalf of an organization, you represent that you are authorized to bind that organization to these Terms.</w:t>
      </w:r>
    </w:p>
    <w:p>
      <w:r>
        <w:t xml:space="preserve">You are responsible for safeguarding your credentials and for all activity that occurs under your account. Notify us promptly at security@grounds.ai of any unauthorized use.</w:t>
      </w:r>
    </w:p>
    <w:p>
      <w:pPr>
        <w:pStyle w:val="Heading2"/>
      </w:pPr>
      <w:r>
        <w:rPr>
          <w:b/>
        </w:rPr>
        <w:t xml:space="preserve">2. The Service</w:t>
      </w:r>
    </w:p>
    <w:p>
      <w:r>
        <w:t xml:space="preserve">Grounds provides AI-assisted tooling for reviewing, drafting, negotiating, and managing contracts and related legal documents. The Service produces suggestions and analyses generated by large language models against your configured playbook, profile, and (where applicable) the work product of your matter.</w:t>
      </w:r>
    </w:p>
    <w:p>
      <w:r>
        <w:rPr>
          <w:b/>
        </w:rPr>
        <w:t xml:space="preserve">The Service is not a law firm.</w:t>
      </w:r>
      <w:r>
        <w:t xml:space="preserve"> Outputs of the Service are not legal advice and do not establish an attorney-client relationship with Grounds. Where you collaborate with a licensed attorney through the Service, your attorney-client relationship is with that attorney, not with Grounds. Always exercise human judgment before relying on AI-generated output.</w:t>
      </w:r>
    </w:p>
    <w:p>
      <w:pPr>
        <w:pStyle w:val="Heading2"/>
      </w:pPr>
      <w:r>
        <w:rPr>
          <w:b/>
        </w:rPr>
        <w:t xml:space="preserve">3. Customer data</w:t>
      </w:r>
    </w:p>
    <w:p>
      <w:r>
        <w:t xml:space="preserve">You retain all rights in the documents, text, redlines, comments, and related materials you submit to the Service (</w:t>
      </w:r>
      <w:r>
        <w:rPr>
          <w:b/>
        </w:rPr>
        <w:t xml:space="preserve">"Customer Data"</w:t>
      </w:r>
      <w:r>
        <w:t xml:space="preserve">). You grant us a worldwide, non-exclusive, royalty-free license to host, process, and transmit Customer Data solely to provide and improve the Service for you.</w:t>
      </w:r>
    </w:p>
    <w:p>
      <w:r>
        <w:rPr>
          <w:b/>
        </w:rPr>
        <w:t xml:space="preserve">Zero-retention for model training.</w:t>
      </w:r>
      <w:r>
        <w:t xml:space="preserve"> We do not use your Customer Data to train foundation models. We do not share Customer Data with third parties for advertising or analytics. Sub-processors are listed on our Subprocessors page; a Data Processing Agreement is available upon request — contact legal@grounds.ai. The full set of AI-specific commitments — including tenant isolation, prompt and response log retention, and embeddings — is in the AI Data Use Policy. Rules for what the Service's AI Agent may disclose on your behalf, and to whom, are in the Agent Authorization Terms.</w:t>
      </w:r>
    </w:p>
    <w:p>
      <w:pPr>
        <w:pStyle w:val="Heading2"/>
      </w:pPr>
      <w:r>
        <w:rPr>
          <w:b/>
        </w:rPr>
        <w:t xml:space="preserve">4. Acceptable use</w:t>
      </w:r>
    </w:p>
    <w:p>
      <w:r>
        <w:t xml:space="preserve">You agree to comply with the Acceptable Use Policy, which prohibits, among other things: uploading content you do not have rights to; using the Service to facilitate the unauthorized practice of law; submitting malicious code; or attempting to reverse-engineer or extract the weights of the underlying models.</w:t>
      </w:r>
    </w:p>
    <w:p>
      <w:pPr>
        <w:pStyle w:val="Heading2"/>
      </w:pPr>
      <w:r>
        <w:rPr>
          <w:b/>
        </w:rPr>
        <w:t xml:space="preserve">5. Billing</w:t>
      </w:r>
    </w:p>
    <w:p>
      <w:r>
        <w:t xml:space="preserve">Paid plans are billed in advance through Stripe in U.S. dollars unless otherwise stated. Fees are non-refundable except as required by law. You authorize us to charge your payment method for all amounts due. We may suspend service for non-payment after written notice and a cure period.</w:t>
      </w:r>
    </w:p>
    <w:p>
      <w:pPr>
        <w:pStyle w:val="Heading2"/>
      </w:pPr>
      <w:r>
        <w:rPr>
          <w:b/>
        </w:rPr>
        <w:t xml:space="preserve">6. Confidentiality and privilege</w:t>
      </w:r>
    </w:p>
    <w:p>
      <w:r>
        <w:t xml:space="preserve">Communications you exchange with a licensed attorney through a Grounds matter or designated privileged channel are intended to preserve any applicable attorney-client privilege or work-product protection. Grounds acts as a non-disclosing service provider with respect to those communications. You are responsible for configuring access controls (e.g., matter participants, portal invites) consistent with applicable privilege rules in your jurisdiction.</w:t>
      </w:r>
    </w:p>
    <w:p>
      <w:r>
        <w:t xml:space="preserve">We will not disclose privileged communications or designated privileged-channel content except (a) as legally compelled by valid legal process, in which case we will follow the subpoena and government-request procedures in the Law Firm Addendum §7 — including notifying you where lawfully permitted, requiring valid process rather than voluntary production, and limiting any production to the minimum data responsive to what is actually compelled — or (b) as you direct, for example by inviting a participant to a matter or portal, releasing content through your account, or instructing us in writing to produce specific material. Law-firm customers should also consult the Law Firm Addendum, which prevails over inconsistent terms here with respect to privileged Matter content.</w:t>
      </w:r>
    </w:p>
    <w:p>
      <w:pPr>
        <w:pStyle w:val="Heading2"/>
      </w:pPr>
      <w:r>
        <w:rPr>
          <w:b/>
        </w:rPr>
        <w:t xml:space="preserve">7. AI output disclaimer</w:t>
      </w:r>
    </w:p>
    <w:p>
      <w:r>
        <w:t xml:space="preserve">AI outputs can be incorrect, incomplete, or misleading. We make no warranty as to the accuracy or fitness-for-purpose of any specific suggestion, citation, or analysis. Statutory and case citations returned by the Service must be independently verified by a qualified attorney before being relied upon in any legal proceeding or transaction.</w:t>
      </w:r>
    </w:p>
    <w:p>
      <w:pPr>
        <w:pStyle w:val="Heading2"/>
      </w:pPr>
      <w:r>
        <w:rPr>
          <w:b/>
        </w:rPr>
        <w:t xml:space="preserve">8. Electronic signatures</w:t>
      </w:r>
    </w:p>
    <w:p>
      <w:r>
        <w:t xml:space="preserve">Where the Service is used to execute documents via typed-name e-signatures, you and your counterparties agree that such typed names constitute electronic signatures under the U.S. Electronic Signatures in Global and National Commerce Act (E-SIGN) and the Uniform Electronic Transactions Act (UETA), and are intended to have the same legal effect as handwritten signatures.</w:t>
      </w:r>
    </w:p>
    <w:p>
      <w:pPr>
        <w:pStyle w:val="Heading2"/>
      </w:pPr>
      <w:r>
        <w:rPr>
          <w:b/>
        </w:rPr>
        <w:t xml:space="preserve">9. Term and termination</w:t>
      </w:r>
    </w:p>
    <w:p>
      <w:r>
        <w:t xml:space="preserve">These Terms apply from your first use of the Service until terminated. Either party may terminate for convenience on 30 days' notice (or immediately for material breach). Upon termination, we will, on request and within 30 days, export your Customer Data in a portable format and then delete it from production systems within 60 days, subject to backup expiration windows described in the DPA.</w:t>
      </w:r>
    </w:p>
    <w:p>
      <w:pPr>
        <w:pStyle w:val="Heading2"/>
      </w:pPr>
      <w:r>
        <w:rPr>
          <w:b/>
        </w:rPr>
        <w:t xml:space="preserve">10. Warranty disclaimer</w:t>
      </w:r>
    </w:p>
    <w:p>
      <w:r>
        <w:t xml:space="preserve">Except as expressly stated, the Service is provided "as is" and "as available," and Grounds disclaims all warranties, express or implied, including merchantability, fitness for a particular purpose, non-infringement, and any warranty arising from course of dealing or usage of trade.</w:t>
      </w:r>
    </w:p>
    <w:p>
      <w:pPr>
        <w:pStyle w:val="Heading2"/>
      </w:pPr>
      <w:r>
        <w:rPr>
          <w:b/>
        </w:rPr>
        <w:t xml:space="preserve">11. Limitation of liability</w:t>
      </w:r>
    </w:p>
    <w:p>
      <w:r>
        <w:t xml:space="preserve">To the maximum extent permitted by law, neither party will be liable for any indirect, incidental, special, consequential, or punitive damages, or any loss of revenue, profits, goodwill, or data, even if advised of the possibility of such damages. Each party's total cumulative liability arising out of these Terms is limited to the fees paid by you to Grounds in the 12 months preceding the event giving rise to the claim.</w:t>
      </w:r>
    </w:p>
    <w:p>
      <w:pPr>
        <w:pStyle w:val="Heading2"/>
      </w:pPr>
      <w:r>
        <w:rPr>
          <w:b/>
        </w:rPr>
        <w:t xml:space="preserve">12. Indemnification</w:t>
      </w:r>
    </w:p>
    <w:p>
      <w:r>
        <w:t xml:space="preserve">You will defend and indemnify Grounds against any third-party claim arising from your Customer Data or your violation of these Terms or the AUP. Grounds will defend and indemnify you against any third-party claim that the Service, as provided by Grounds and used by you in accordance with these Terms, infringes that party's intellectual property rights.</w:t>
      </w:r>
    </w:p>
    <w:p>
      <w:pPr>
        <w:pStyle w:val="Heading2"/>
      </w:pPr>
      <w:r>
        <w:rPr>
          <w:b/>
        </w:rPr>
        <w:t xml:space="preserve">13. Governing law and venue</w:t>
      </w:r>
    </w:p>
    <w:p>
      <w:r>
        <w:t xml:space="preserve">These Terms are governed by the laws of the State of Delaware, without regard to its conflict-of-laws principles. The exclusive venue for any dispute will be the state or federal courts located in Wilmington, Delaware, and each party consents to the personal jurisdiction of those courts.</w:t>
      </w:r>
    </w:p>
    <w:p>
      <w:pPr>
        <w:pStyle w:val="Heading2"/>
      </w:pPr>
      <w:r>
        <w:rPr>
          <w:b/>
        </w:rPr>
        <w:t xml:space="preserve">14. Changes</w:t>
      </w:r>
    </w:p>
    <w:p>
      <w:r>
        <w:t xml:space="preserve">We may update these Terms from time to time. Material changes will be announced by email or in-app at least 30 days before they take effect. Continued use after the effective date constitutes acceptance.</w:t>
      </w:r>
    </w:p>
    <w:p>
      <w:pPr>
        <w:pStyle w:val="Heading2"/>
      </w:pPr>
      <w:r>
        <w:rPr>
          <w:b/>
        </w:rPr>
        <w:t xml:space="preserve">15. Contact</w:t>
      </w:r>
    </w:p>
    <w:p>
      <w:r>
        <w:t xml:space="preserve">Questions about these Terms? legal@grounds.ai.</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rPr>
        <w:rFonts w:ascii="Symbol" w:hAnsi="Symbol"/>
      </w:rPr>
    </w:lvl>
  </w:abstractNum>
  <w:num w:numId="1">
    <w:abstractNumId w:val="0"/>
  </w:num>
</w:numbering>
</file>

<file path=word/styles.xml><?xml version="1.0" encoding="utf-8"?>
<w:styles xmlns:w="http://schemas.openxmlformats.org/wordprocessingml/2006/main">
  <w:docDefaults>
    <w:rPrDefault>
      <w:rPr>
        <w:rFonts w:ascii="Calibri" w:hAnsi="Calibri"/>
        <w:sz w:val="22"/>
      </w:rPr>
    </w:rPrDefault>
    <w:pPrDefault>
      <w:pPr>
        <w:spacing w:after="160" w:line="276" w:lineRule="auto"/>
      </w:pPr>
    </w:pPrDefault>
  </w:docDefaults>
  <w:style w:type="paragraph" w:styleId="Title">
    <w:name w:val="Title"/>
    <w:rPr>
      <w:sz w:val="48"/>
      <w:b/>
    </w:rPr>
  </w:style>
  <w:style w:type="paragraph" w:styleId="Heading1">
    <w:name w:val="heading 1"/>
    <w:rPr>
      <w:sz w:val="32"/>
      <w:b/>
    </w:rPr>
  </w:style>
  <w:style w:type="paragraph" w:styleId="Heading2">
    <w:name w:val="heading 2"/>
    <w:rPr>
      <w:sz w:val="28"/>
      <w:b/>
    </w:rPr>
  </w:style>
  <w:style w:type="paragraph" w:styleId="Heading3">
    <w:name w:val="heading 3"/>
    <w:rPr>
      <w:sz w:val="24"/>
      <w:b/>
    </w:rPr>
  </w:style>
  <w:style w:type="paragraph" w:styleId="ListParagraph">
    <w:name w:val="List Paragraph"/>
    <w:pPr>
      <w:ind w:left="72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